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963A8">
      <w:pPr>
        <w:spacing w:line="560" w:lineRule="exact"/>
        <w:jc w:val="left"/>
        <w:rPr>
          <w:rFonts w:ascii="仿宋_GB2312" w:hAnsi="仿宋_GB2312" w:eastAsia="仿宋_GB2312" w:cs="仿宋_GB2312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附件2</w:t>
      </w:r>
    </w:p>
    <w:p w14:paraId="1CA9967E">
      <w:pPr>
        <w:spacing w:line="560" w:lineRule="exact"/>
        <w:jc w:val="left"/>
        <w:rPr>
          <w:rFonts w:ascii="仿宋_GB2312" w:hAnsi="仿宋_GB2312" w:eastAsia="仿宋_GB2312" w:cs="仿宋_GB2312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CBAA033">
      <w:pPr>
        <w:spacing w:line="560" w:lineRule="exact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  <w:t>2025年度质量工程建设项目</w:t>
      </w:r>
    </w:p>
    <w:p w14:paraId="332AAF84">
      <w:pPr>
        <w:spacing w:line="560" w:lineRule="exact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</w:pPr>
      <w:r>
        <w:rPr>
          <w:rFonts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  <w:t>立项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  <w:t>指南</w:t>
      </w:r>
    </w:p>
    <w:p w14:paraId="2C10C3AA">
      <w:pPr>
        <w:spacing w:line="560" w:lineRule="exact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</w:pPr>
    </w:p>
    <w:p w14:paraId="027B6E5B">
      <w:pPr>
        <w:spacing w:line="56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一</w:t>
      </w:r>
      <w:r>
        <w:rPr>
          <w:rFonts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质量工程项目</w:t>
      </w:r>
      <w:r>
        <w:rPr>
          <w:rFonts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类别</w:t>
      </w:r>
    </w:p>
    <w:p w14:paraId="25A5EAAA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本年度学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校计划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拟新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质量工程项目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左右，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类别及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立项数量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如下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682DADA0">
      <w:pPr>
        <w:spacing w:line="560" w:lineRule="exact"/>
        <w:ind w:firstLine="64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(一)实验实践类</w:t>
      </w:r>
    </w:p>
    <w:p w14:paraId="4E4525E6"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实验教学示范中心1个；校企联合实验室5个；科产教融合实践教学基地5个；大学生社会实践教学基地5个, 现代产业学院2个左右，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人工智能赋能实验实训基地、平台建设类的项目优先。</w:t>
      </w:r>
    </w:p>
    <w:p w14:paraId="523DCA4E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实验教学示范中心项目，农科类和工科类每个项目建设经费15—20万元，文科类每个项目建设经费10—15万元。</w:t>
      </w:r>
    </w:p>
    <w:p w14:paraId="5911C7D6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校企联合实验室须根据建设要求，每个项目建设经费6—10万元，由企业全额配套。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申报时须提供企业同意全额配套建设经费证明。</w:t>
      </w:r>
    </w:p>
    <w:p w14:paraId="3DEA4A47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科产教融合实践教学基地项目，每个项目建设经费6—10万元，由学校和企业1:1配套。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申报时须提供企业同意1:1配套建设经费证明。</w:t>
      </w:r>
    </w:p>
    <w:p w14:paraId="0F91EF16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大学生社会实践教学基地项目，每个项目建设经费3—5万元，由学校和企业1:1配套。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申报时须提供企业同意1:1配套建设经费证明。</w:t>
      </w:r>
    </w:p>
    <w:p w14:paraId="0BD99FE1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现代产业学院项目，每个项目建设经费12-20万元，由学校和企业1:1配套。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申报时须提供企业同意1:1配套建设经费证明。</w:t>
      </w:r>
    </w:p>
    <w:p w14:paraId="1E13EDAC">
      <w:pPr>
        <w:spacing w:line="560" w:lineRule="exact"/>
        <w:ind w:firstLine="64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(二)综合改革类</w:t>
      </w:r>
    </w:p>
    <w:p w14:paraId="4F2FBD70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专项人才培养计划1项左右，每项学校资助5—10万元。</w:t>
      </w:r>
    </w:p>
    <w:p w14:paraId="5E49CD3A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(三)课程教研室：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立项10个左右。每个项目学校资助3—5万元。</w:t>
      </w:r>
    </w:p>
    <w:p w14:paraId="127DB9C1">
      <w:pPr>
        <w:spacing w:line="560" w:lineRule="exact"/>
        <w:ind w:firstLine="64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(四)专业、课程类</w:t>
      </w:r>
    </w:p>
    <w:p w14:paraId="2AD9E015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校级“四新”示范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：立项2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门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每门学校资助1万元。</w:t>
      </w:r>
    </w:p>
    <w:p w14:paraId="24EAC43F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校级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：立项2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门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每门学校资助1万元。</w:t>
      </w:r>
    </w:p>
    <w:p w14:paraId="45842ABD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3.全英课程：立项30门左右，每门学校资助1—3万元。</w:t>
      </w:r>
    </w:p>
    <w:p w14:paraId="0F691A6C"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本科专业三级认证：立项4—8个专业，每个专业学校资助5—10万元。</w:t>
      </w:r>
    </w:p>
    <w:p w14:paraId="40041215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各单位根据学校计划立项数量，统筹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推荐各类别项目，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将根据上述各类项目立项总额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择优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确定校级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质量工程项目。</w:t>
      </w:r>
    </w:p>
    <w:p w14:paraId="10B658FA">
      <w:pPr>
        <w:spacing w:line="560" w:lineRule="exact"/>
        <w:ind w:firstLine="640" w:firstLineChars="200"/>
        <w:jc w:val="left"/>
        <w:rPr>
          <w:rFonts w:ascii="方正小标宋简体" w:hAnsi="Calibri" w:eastAsia="方正小标宋简体" w:cs="Times New Roman"/>
          <w:color w:val="000000" w:themeColor="text1"/>
          <w:sz w:val="4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要求</w:t>
      </w:r>
    </w:p>
    <w:p w14:paraId="6BC53AA5">
      <w:pPr>
        <w:spacing w:line="560" w:lineRule="exact"/>
        <w:ind w:firstLine="640" w:firstLineChars="200"/>
        <w:rPr>
          <w:rFonts w:ascii="华文楷体" w:hAnsi="华文楷体" w:eastAsia="华文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（一）实验实践类</w:t>
      </w:r>
    </w:p>
    <w:p w14:paraId="4D642FEC">
      <w:pPr>
        <w:spacing w:line="560" w:lineRule="exact"/>
        <w:ind w:firstLine="641" w:firstLineChars="20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华文楷体" w:hAnsi="华文楷体" w:eastAsia="华文楷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实验教学示范中心。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持尚无校级布点、教学效益高、共享面广的示范中心建设，确保基本覆盖我校主要学科门类，形成合理、均衡布局。学校已有相似校级以上示范中心的原则上不再立项。项目负责人要求必须有正高级职称，实验教学队伍结构合理，人员充足，实验课程体系相对完备。依托中心，持续开展实验教学改革研究和实践，积极创新实验教学方式和管理机制，不断强化实验教学对理论教学的巩固支撑作用。鼓励和支持中心有条件对外开放共享，建设在线网站实现资源开放，支持对学生在线预约开放，扩大优质实验教学资源的覆盖面和受益面。</w:t>
      </w:r>
    </w:p>
    <w:p w14:paraId="774ADEDA"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华文楷体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科产教融合实践教学基地。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与大中型企业、行业协会、产业园区、科研院所共建科产教融合实践教学基地，重实践教学基地内涵建设，完善基地内部教学体系和激励制度，充分调动合作方积极性，吸引合作方深度参与基地实践教学，共同开发实践教学课程体系、共同制定实践教学方案、共同实施实践教学过程、共同评价实践教学成效、共同改进实践教学方式，形成基地实践教学与专业课堂教学互促互补的良好局面，通过基地构建校企合作协同育人的稳定机制，打造一支高水平“双师型”教师队伍。项目负责人须是副高及以上职称。</w:t>
      </w:r>
      <w:r>
        <w:rPr>
          <w:rFonts w:hint="eastAsia" w:ascii="仿宋_GB2312" w:hAnsi="仿宋" w:eastAsia="仿宋_GB2312" w:cs="宋体"/>
          <w:b/>
          <w:color w:val="FF0000"/>
          <w:kern w:val="0"/>
          <w:sz w:val="32"/>
          <w:szCs w:val="32"/>
        </w:rPr>
        <w:t>要求有校级实践教学基地建设基础，且学校与合作单位签订的实践教学基地建设协议在有效期内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267C21F"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校企联合实验室。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面向新兴产业，瞄准本校、本专业实验教学薄弱环节，积极引入外部资源，与企业、科研院所联合共建专业教学实验室，补齐专业实验教学短板。实验室采用校企共建共管方式运行，通过实验室组建校企联合实验教学团队，发挥企业（科研院所）重要教育主体作用。支持实验室师生团队参与企业课题研究（攻关），鼓励学生深入生产一线，在真实环境中开展实验学习。通过校企联合实验室建设，形成稳定长效的产教融合机制。项目负责人须是副高及以上职称。</w:t>
      </w:r>
      <w:r>
        <w:rPr>
          <w:rFonts w:hint="eastAsia" w:ascii="仿宋_GB2312" w:hAnsi="仿宋" w:eastAsia="仿宋_GB2312" w:cs="宋体"/>
          <w:b/>
          <w:color w:val="FF0000"/>
          <w:kern w:val="0"/>
          <w:sz w:val="32"/>
          <w:szCs w:val="32"/>
        </w:rPr>
        <w:t>要求学校已和合作单位签订联合共建实验室协议且协议在有效期内。</w:t>
      </w:r>
    </w:p>
    <w:p w14:paraId="4091DE87"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大学生社会实践教学基地。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充分利用社会资源，联合地方政府、有关部门或其他高校，共建大学生社会实践教学基地，基地建设紧密结合专业人才培养需要，以实践课程及实践活动为主要教学手段，通过认知、体验、发现、探究、感悟等学习方式，帮助学生加深社会认识、关心社会发展，引导学生利用专业知识解决社会问题。通过基地建设，在专业教育得到强化的同时，推动实现德育、智育、美育、体育和劳动教育实践化，提升学生的创新精神、实践能力、社会责任感和就业能力。仅限专职教师申报，职称为副高及以上。</w:t>
      </w:r>
      <w:r>
        <w:rPr>
          <w:rFonts w:hint="eastAsia" w:ascii="仿宋_GB2312" w:hAnsi="仿宋" w:eastAsia="仿宋_GB2312" w:cs="宋体"/>
          <w:b/>
          <w:color w:val="FF0000"/>
          <w:kern w:val="0"/>
          <w:sz w:val="32"/>
          <w:szCs w:val="32"/>
        </w:rPr>
        <w:t>要求有校级实践教学基地建设基础，且学校与合作单位签订的实践教学基地建设协议在有效期内。</w:t>
      </w:r>
    </w:p>
    <w:p w14:paraId="31D049A6"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现代产业学院。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合大中企业、地方政府、产业园区、科研院所等建设现代产业学院。充分尊重和发挥参建各方办学主体作用，形成共建共管、高效顺畅的组织架构。整合多主体创新要素和资源，以强化学生职业胜任力和持续发展能力为目标，以提高学生实践和创新能力为重点，创新人才培养方案、课程体系、方式方法、保障机制等，持续促进产教深度融合合作。鼓励学院打破常规对人才招录方式、课程体系进行大胆革新，建设跨专业、跨学科的新型基本教学单位，引导行业企业深度参与教材编制和课程建设，设计课程体系、优化课程结构，加快课程教学内容迭代，促进课程内容与技术发展衔接、教学过程与生产过程对接。探索校企人才双向流动机制，设置灵活的人事制度，建立选聘行业协会、企业业务骨干、优秀技术和管理人才到高校任教的有效路径。发挥学校人才与专业综合性优势，围绕产业技术创新关键问题开展协同创新，实现高校知识溢出直接服务区域经济社会发展。产业学院有连续3个及以上年级学生参与改革试点并取得实效，合作项目持续3年以上，教学资源和办学成效显著。负责人应为专业负责人、系主任或学院领导、副高及以上职称。</w:t>
      </w:r>
    </w:p>
    <w:p w14:paraId="262370D0">
      <w:pPr>
        <w:numPr>
          <w:ilvl w:val="255"/>
          <w:numId w:val="0"/>
        </w:numPr>
        <w:spacing w:line="560" w:lineRule="exact"/>
        <w:rPr>
          <w:rFonts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(二)综合改革类</w:t>
      </w:r>
    </w:p>
    <w:p w14:paraId="51070717">
      <w:pPr>
        <w:spacing w:line="560" w:lineRule="exact"/>
        <w:ind w:firstLine="643" w:firstLineChars="20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专项人才培养计划。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以特定学科、行业或产业复合型、应用型、创新型人才培养为主要导向，以专业或专业群为单位，通过实验班、创新班、特色班等载体开展专项人才培养计划，并制定专门人才培养方案。计划实施所依托的主要专业应为省级以上一流专业建设点，具有相对突出的办学优势，并积累了一定的教学成果。计划应瞄准国家和省重大发展战略，主动服务特定学科、科技或产业发展，更新人才培养逻辑，推进学科专业交叉融合，在培养模式、课程体系、教学内容、教学方法、考核评价等方面进行综合改革，积极引入外部优质资源，深化科教、产教融合，增强学生实践创新能力。通过计划实施，进一步彰显学校办学特色，提升学校社会服务能力。计划范围包括但不限于“六卓越一拔尖”人才培养计划，重点支持集成电路、软件、智能制造、生物育种、海洋技术、新材料、、新能源、中医药、涉外法治、海洋牧场、数字经济、网络安全、乡村振兴领域人才培养计划。项目负责人须是专业主任或分管教学工作院领导，且具有副高及以上职称。</w:t>
      </w:r>
    </w:p>
    <w:p w14:paraId="1ACA6406">
      <w:pPr>
        <w:spacing w:line="560" w:lineRule="exact"/>
        <w:ind w:firstLine="640" w:firstLineChars="200"/>
        <w:rPr>
          <w:rFonts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(三)课程教研室（含虚拟教研室）。</w:t>
      </w:r>
    </w:p>
    <w:p w14:paraId="2893CD8D">
      <w:pPr>
        <w:spacing w:line="560" w:lineRule="exact"/>
        <w:ind w:firstLine="640" w:firstLineChars="20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研室负责人一般由教学名师或者专业骨干教师充任，负责人近3年主持省部级以上教学项目较多，具有较高的学术水平和较强的奉献精神，愿意全力投入教研室建设。教研室成员数量和结构合理，可持续发展趋势好。教研室依托课程或课程群组建，配有相对稳定的办公场所，制定了相对完善的管理运行制度，负责人与各成员分工明确、合作高效，教研室内部开展常态化的教学专题研讨、交流、观摩、协作等活动，实施教学帮扶、青年教师导师制和集体备课制度，在青年教师培养及师资梯队建设方面卓有成效。项目负责人须是副高及以上职称。</w:t>
      </w:r>
    </w:p>
    <w:p w14:paraId="27AD089C">
      <w:pPr>
        <w:spacing w:line="560" w:lineRule="exact"/>
        <w:ind w:firstLine="640" w:firstLineChars="200"/>
        <w:rPr>
          <w:rFonts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仿宋" w:eastAsia="楷体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(四)专业和课程类</w:t>
      </w:r>
    </w:p>
    <w:p w14:paraId="5C3E565B">
      <w:pPr>
        <w:pStyle w:val="17"/>
        <w:ind w:firstLine="643"/>
        <w:rPr>
          <w:rFonts w:hAnsi="华文楷体" w:cs="宋体"/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hAnsi="华文楷体" w:cs="宋体"/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  <w:t>1.</w:t>
      </w:r>
      <w:r>
        <w:rPr>
          <w:rFonts w:hint="eastAsia" w:hAnsi="仿宋" w:cs="宋体"/>
          <w:b/>
          <w:bCs w:val="0"/>
          <w:color w:val="000000" w:themeColor="text1"/>
          <w:kern w:val="0"/>
          <w14:textFill>
            <w14:solidFill>
              <w14:schemeClr w14:val="tx1"/>
            </w14:solidFill>
          </w14:textFill>
        </w:rPr>
        <w:t>本科专业三级认证</w:t>
      </w:r>
      <w:r>
        <w:rPr>
          <w:rFonts w:hint="eastAsia" w:hAnsi="仿宋" w:cs="宋体"/>
          <w:b/>
          <w:bCs w:val="0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申报资格为已获教育部认证受理，并且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在落实立德树人根本任务、深化高等教育综合改革，服务国家重大战略、拔尖创新人才自主培养等方面取得的成效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明显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拔尖创新人才的培养目标、毕业要求与服务国家重大战略的匹配度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较高，</w:t>
      </w:r>
      <w:r>
        <w:rPr>
          <w:rFonts w:hint="eastAsia" w:hAnsi="华文楷体" w:cs="宋体"/>
          <w:bCs/>
          <w:color w:val="000000" w:themeColor="text1"/>
          <w:kern w:val="0"/>
          <w14:textFill>
            <w14:solidFill>
              <w14:schemeClr w14:val="tx1"/>
            </w14:solidFill>
          </w14:textFill>
        </w:rPr>
        <w:t>拔尖创新人才培养的达成度较高，拔尖创新人才培养的教学资源保障度较高。建设期满要求通过教育部专业三级认证。</w:t>
      </w:r>
    </w:p>
    <w:p w14:paraId="1DD9195C">
      <w:pPr>
        <w:spacing w:line="560" w:lineRule="exact"/>
        <w:ind w:firstLine="48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华文楷体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2.“四新”示范课程。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提倡建设面向新技术、新产业和新经济业态的“新工科”、“新农科”、“新文科”跨学科课程。课程需围绕特定的问题或主题，能有机融合多门学科知识，建立面向复杂问题的教学模式，实施多学科交叉融合能力达成的评价标准和考核办法，提升学生整合运用跨学科思维、知识，全面认识并灵活解决真实世界中复杂问题的能力。</w:t>
      </w:r>
    </w:p>
    <w:p w14:paraId="2FD8ED3A">
      <w:pPr>
        <w:spacing w:line="560" w:lineRule="exact"/>
        <w:ind w:firstLine="48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：申报课程应是本科人才培养方案中的课程，所立项的示范课程所面对的研究领域必须跨越两个及以上学科门类；课程负责人应具有副教授及以上职称，教学团队需具备两个及以上学科背景，具有跨学科的视野和素养；申请课程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要求在2025年下半年或2026年上半年开出；立项课程每年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开设不少于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1次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建设期内至少开展3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次全校性示范课。</w:t>
      </w:r>
    </w:p>
    <w:p w14:paraId="3B76061C">
      <w:pPr>
        <w:spacing w:line="560" w:lineRule="exact"/>
        <w:ind w:firstLine="643" w:firstLineChars="200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华文楷体" w:eastAsia="仿宋_GB2312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3.大国“三农”课程</w:t>
      </w:r>
      <w:r>
        <w:rPr>
          <w:rFonts w:hint="eastAsia" w:ascii="仿宋_GB2312" w:hAnsi="华文楷体" w:eastAsia="仿宋_GB2312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大国“三农”课程是我校通识选修课程的组成部分，属于全校公共选修课。课程以落实教育部《关于加强农科教结合实施卓越农林人才教育培养计划2.0的意见》,进一步深化高等农林教育人才培养体系改革，建设具有华南农业大学特色的农林课程为目的，把思想政治教育和职业素养教育贯穿农林人才培养全过程，注重素质教育与专业教育有机结合，引导学生学农爱农知农为农，增强学生服务“三农”和农业农村现代化的使命感和责任感。</w:t>
      </w:r>
    </w:p>
    <w:p w14:paraId="15D2F90C">
      <w:pPr>
        <w:spacing w:line="560" w:lineRule="exact"/>
        <w:ind w:firstLine="640" w:firstLineChars="200"/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要求：“大国三农”课程所面对的研究领域必须涉农，原则上必须有一个3人以上的教学团队，课程负责人应具有副教授及以上职称，团队成员必须具有中级或以上职称。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立项课程要求在2025年下半年或2026年上半年开出；立项课程每年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开设不少于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1次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建设期内至少开展3</w:t>
      </w:r>
      <w:r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次全校性示范课。</w:t>
      </w:r>
    </w:p>
    <w:p w14:paraId="480680D4">
      <w:pPr>
        <w:numPr>
          <w:ilvl w:val="255"/>
          <w:numId w:val="0"/>
        </w:numPr>
        <w:spacing w:line="560" w:lineRule="exact"/>
        <w:ind w:firstLine="643" w:firstLineChars="200"/>
        <w:rPr>
          <w:rFonts w:ascii="仿宋_GB2312" w:hAnsi="仿宋" w:eastAsia="仿宋_GB2312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4.全英课程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  <w:r>
        <w:rPr>
          <w:rFonts w:hint="eastAsia" w:ascii="仿宋_GB2312" w:hAnsi="仿宋" w:eastAsia="仿宋_GB2312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全英课程是以提高本科教学质量，培养具有创新精神和国际视野的高素质人才，深入推进学校国际化办学为目的，在非外语类专业中开设的课程(大学英语、专业英语课程和外国语言类课程除外)。</w:t>
      </w:r>
    </w:p>
    <w:p w14:paraId="5BA815C1">
      <w:pPr>
        <w:spacing w:line="560" w:lineRule="exact"/>
        <w:ind w:firstLine="640"/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:申报课程应是本科人才培养方案中的学科基础课、专业基础课或专业核心课等课程:课程负责人应为我校专任教师，具有副高及以上技术职称或具有博士学位，原则上要求已开过相关专业的全英或双语课程，或者具备国外留学背景和全英教学能力。</w:t>
      </w:r>
      <w:r>
        <w:rPr>
          <w:rFonts w:hint="eastAsia"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立项课程要求在2025年下半年或2026年上半年开出;立项课程每年开设不少于1次，建设期内至少开展3-4次全校性示范课。</w:t>
      </w:r>
    </w:p>
    <w:p w14:paraId="6DD3AF28">
      <w:pPr>
        <w:spacing w:line="560" w:lineRule="exact"/>
        <w:ind w:firstLine="643" w:firstLineChars="200"/>
        <w:rPr>
          <w:rFonts w:ascii="仿宋_GB2312" w:hAnsi="仿宋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A617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7FBABD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7FBABD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2C8DD"/>
    <w:multiLevelType w:val="singleLevel"/>
    <w:tmpl w:val="8822C8D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1NmJkZDc0NDVlYjZkNmMxNGFhYmU0YmZkOGZmZmUifQ=="/>
  </w:docVars>
  <w:rsids>
    <w:rsidRoot w:val="004D5E52"/>
    <w:rsid w:val="000025A5"/>
    <w:rsid w:val="00006C9A"/>
    <w:rsid w:val="00011584"/>
    <w:rsid w:val="00014401"/>
    <w:rsid w:val="00023BE5"/>
    <w:rsid w:val="00032339"/>
    <w:rsid w:val="00036D11"/>
    <w:rsid w:val="00097AEE"/>
    <w:rsid w:val="000D196C"/>
    <w:rsid w:val="00141256"/>
    <w:rsid w:val="0018265C"/>
    <w:rsid w:val="00182C54"/>
    <w:rsid w:val="001A0933"/>
    <w:rsid w:val="001E5567"/>
    <w:rsid w:val="002011DF"/>
    <w:rsid w:val="00207A6D"/>
    <w:rsid w:val="002126DE"/>
    <w:rsid w:val="002174B3"/>
    <w:rsid w:val="00244B9A"/>
    <w:rsid w:val="0025503A"/>
    <w:rsid w:val="002D5960"/>
    <w:rsid w:val="002E3110"/>
    <w:rsid w:val="00302413"/>
    <w:rsid w:val="003143AB"/>
    <w:rsid w:val="00316110"/>
    <w:rsid w:val="0032799F"/>
    <w:rsid w:val="00354D1B"/>
    <w:rsid w:val="00355E1E"/>
    <w:rsid w:val="00370DE5"/>
    <w:rsid w:val="00394148"/>
    <w:rsid w:val="00423AE8"/>
    <w:rsid w:val="00441715"/>
    <w:rsid w:val="004434BD"/>
    <w:rsid w:val="00463EA6"/>
    <w:rsid w:val="004651EC"/>
    <w:rsid w:val="004773DB"/>
    <w:rsid w:val="00495110"/>
    <w:rsid w:val="0049668B"/>
    <w:rsid w:val="00497075"/>
    <w:rsid w:val="004D5E52"/>
    <w:rsid w:val="004F389F"/>
    <w:rsid w:val="004F7863"/>
    <w:rsid w:val="005077B1"/>
    <w:rsid w:val="00520FB4"/>
    <w:rsid w:val="00530861"/>
    <w:rsid w:val="00552A90"/>
    <w:rsid w:val="0056149E"/>
    <w:rsid w:val="005811CF"/>
    <w:rsid w:val="00585919"/>
    <w:rsid w:val="0059358E"/>
    <w:rsid w:val="00597D62"/>
    <w:rsid w:val="005B7351"/>
    <w:rsid w:val="005E0FA2"/>
    <w:rsid w:val="006039FE"/>
    <w:rsid w:val="00613EAE"/>
    <w:rsid w:val="00620958"/>
    <w:rsid w:val="00643A60"/>
    <w:rsid w:val="006541FE"/>
    <w:rsid w:val="00661F37"/>
    <w:rsid w:val="006708DF"/>
    <w:rsid w:val="0069787C"/>
    <w:rsid w:val="006C2C46"/>
    <w:rsid w:val="006F2A73"/>
    <w:rsid w:val="006F4366"/>
    <w:rsid w:val="006F7BC8"/>
    <w:rsid w:val="007227DE"/>
    <w:rsid w:val="007357FD"/>
    <w:rsid w:val="00765441"/>
    <w:rsid w:val="00765E3C"/>
    <w:rsid w:val="00770FDE"/>
    <w:rsid w:val="00775998"/>
    <w:rsid w:val="007807E4"/>
    <w:rsid w:val="00784859"/>
    <w:rsid w:val="00792656"/>
    <w:rsid w:val="007932C0"/>
    <w:rsid w:val="007A6755"/>
    <w:rsid w:val="007D6E6E"/>
    <w:rsid w:val="008226B7"/>
    <w:rsid w:val="008A20F6"/>
    <w:rsid w:val="008A4EDA"/>
    <w:rsid w:val="008C53B4"/>
    <w:rsid w:val="008C58D5"/>
    <w:rsid w:val="008E59A2"/>
    <w:rsid w:val="008F59C0"/>
    <w:rsid w:val="00943B2F"/>
    <w:rsid w:val="009510E4"/>
    <w:rsid w:val="009A5986"/>
    <w:rsid w:val="009B5E6A"/>
    <w:rsid w:val="009C70CA"/>
    <w:rsid w:val="009D78AD"/>
    <w:rsid w:val="009E3FBD"/>
    <w:rsid w:val="00A0134D"/>
    <w:rsid w:val="00A154D2"/>
    <w:rsid w:val="00A1681D"/>
    <w:rsid w:val="00A66844"/>
    <w:rsid w:val="00A66F8D"/>
    <w:rsid w:val="00A950C7"/>
    <w:rsid w:val="00AB6843"/>
    <w:rsid w:val="00AB7466"/>
    <w:rsid w:val="00AB7471"/>
    <w:rsid w:val="00AD306D"/>
    <w:rsid w:val="00AF674B"/>
    <w:rsid w:val="00B005C2"/>
    <w:rsid w:val="00B029EC"/>
    <w:rsid w:val="00B06B25"/>
    <w:rsid w:val="00B51FB3"/>
    <w:rsid w:val="00B63737"/>
    <w:rsid w:val="00B677E5"/>
    <w:rsid w:val="00B71819"/>
    <w:rsid w:val="00B80A0E"/>
    <w:rsid w:val="00BD79E2"/>
    <w:rsid w:val="00C01297"/>
    <w:rsid w:val="00C11D79"/>
    <w:rsid w:val="00C40B6D"/>
    <w:rsid w:val="00C47CC1"/>
    <w:rsid w:val="00C5631F"/>
    <w:rsid w:val="00C83784"/>
    <w:rsid w:val="00C939AD"/>
    <w:rsid w:val="00CA5317"/>
    <w:rsid w:val="00D26F93"/>
    <w:rsid w:val="00D51641"/>
    <w:rsid w:val="00D521B0"/>
    <w:rsid w:val="00D72067"/>
    <w:rsid w:val="00D847E3"/>
    <w:rsid w:val="00D87A39"/>
    <w:rsid w:val="00DA4E2D"/>
    <w:rsid w:val="00DB3128"/>
    <w:rsid w:val="00DD1720"/>
    <w:rsid w:val="00DE0778"/>
    <w:rsid w:val="00DF1381"/>
    <w:rsid w:val="00E001AE"/>
    <w:rsid w:val="00E2682E"/>
    <w:rsid w:val="00E86D6D"/>
    <w:rsid w:val="00E87D42"/>
    <w:rsid w:val="00E97264"/>
    <w:rsid w:val="00EB5E77"/>
    <w:rsid w:val="00EB6EE4"/>
    <w:rsid w:val="00EC060C"/>
    <w:rsid w:val="00EE0397"/>
    <w:rsid w:val="00EE6930"/>
    <w:rsid w:val="00F01054"/>
    <w:rsid w:val="00F1163B"/>
    <w:rsid w:val="00F14372"/>
    <w:rsid w:val="00F3049B"/>
    <w:rsid w:val="00F3654E"/>
    <w:rsid w:val="00F5123A"/>
    <w:rsid w:val="00F83D1D"/>
    <w:rsid w:val="00F94912"/>
    <w:rsid w:val="00F96867"/>
    <w:rsid w:val="00FA116A"/>
    <w:rsid w:val="00FB16D9"/>
    <w:rsid w:val="00FE33FF"/>
    <w:rsid w:val="00FE4BB7"/>
    <w:rsid w:val="00FF16CC"/>
    <w:rsid w:val="04171DF9"/>
    <w:rsid w:val="1831181F"/>
    <w:rsid w:val="1F7C2289"/>
    <w:rsid w:val="20427645"/>
    <w:rsid w:val="278A18D2"/>
    <w:rsid w:val="2B6C6CF4"/>
    <w:rsid w:val="2DBB70BB"/>
    <w:rsid w:val="32E05AFC"/>
    <w:rsid w:val="33220F6F"/>
    <w:rsid w:val="3549153D"/>
    <w:rsid w:val="36BE290F"/>
    <w:rsid w:val="37FA23B1"/>
    <w:rsid w:val="3FB82A10"/>
    <w:rsid w:val="46E4721D"/>
    <w:rsid w:val="499739BB"/>
    <w:rsid w:val="4D550108"/>
    <w:rsid w:val="4EFA4547"/>
    <w:rsid w:val="50CC30FF"/>
    <w:rsid w:val="5288688A"/>
    <w:rsid w:val="578A1C58"/>
    <w:rsid w:val="5BF566C3"/>
    <w:rsid w:val="63BE7DE9"/>
    <w:rsid w:val="65E16585"/>
    <w:rsid w:val="6907225D"/>
    <w:rsid w:val="6B2632F2"/>
    <w:rsid w:val="7A04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样式1"/>
    <w:basedOn w:val="1"/>
    <w:link w:val="10"/>
    <w:qFormat/>
    <w:uiPriority w:val="0"/>
    <w:rPr>
      <w:rFonts w:eastAsia="楷体_GB2312"/>
      <w:sz w:val="32"/>
    </w:rPr>
  </w:style>
  <w:style w:type="character" w:customStyle="1" w:styleId="10">
    <w:name w:val="样式1 Char"/>
    <w:link w:val="9"/>
    <w:qFormat/>
    <w:uiPriority w:val="0"/>
    <w:rPr>
      <w:rFonts w:eastAsia="楷体_GB2312"/>
      <w:sz w:val="32"/>
    </w:rPr>
  </w:style>
  <w:style w:type="character" w:customStyle="1" w:styleId="11">
    <w:name w:val="样式2 Char"/>
    <w:link w:val="12"/>
    <w:qFormat/>
    <w:uiPriority w:val="0"/>
    <w:rPr>
      <w:rFonts w:eastAsia="黑体"/>
      <w:sz w:val="32"/>
    </w:rPr>
  </w:style>
  <w:style w:type="paragraph" w:customStyle="1" w:styleId="12">
    <w:name w:val="样式2"/>
    <w:basedOn w:val="1"/>
    <w:next w:val="1"/>
    <w:link w:val="11"/>
    <w:qFormat/>
    <w:uiPriority w:val="0"/>
    <w:pPr>
      <w:ind w:firstLine="883" w:firstLineChars="200"/>
    </w:pPr>
    <w:rPr>
      <w:rFonts w:eastAsia="黑体"/>
      <w:sz w:val="32"/>
    </w:rPr>
  </w:style>
  <w:style w:type="character" w:customStyle="1" w:styleId="13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5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16">
    <w:name w:val="三号标题"/>
    <w:basedOn w:val="1"/>
    <w:qFormat/>
    <w:uiPriority w:val="0"/>
    <w:pPr>
      <w:spacing w:line="360" w:lineRule="auto"/>
      <w:ind w:firstLine="200" w:firstLineChars="200"/>
    </w:pPr>
    <w:rPr>
      <w:rFonts w:ascii="黑体" w:hAnsi="黑体" w:eastAsia="黑体" w:cs="Times New Roman"/>
      <w:sz w:val="32"/>
      <w:szCs w:val="32"/>
    </w:rPr>
  </w:style>
  <w:style w:type="paragraph" w:customStyle="1" w:styleId="17">
    <w:name w:val="三号正文"/>
    <w:basedOn w:val="1"/>
    <w:qFormat/>
    <w:uiPriority w:val="0"/>
    <w:pPr>
      <w:spacing w:line="360" w:lineRule="auto"/>
      <w:ind w:firstLine="200" w:firstLineChars="200"/>
    </w:pPr>
    <w:rPr>
      <w:rFonts w:ascii="仿宋_GB2312" w:hAnsi="方正仿宋_GB2312" w:eastAsia="仿宋_GB2312" w:cs="方正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8</Pages>
  <Words>3964</Words>
  <Characters>4037</Characters>
  <Lines>29</Lines>
  <Paragraphs>8</Paragraphs>
  <TotalTime>38</TotalTime>
  <ScaleCrop>false</ScaleCrop>
  <LinksUpToDate>false</LinksUpToDate>
  <CharactersWithSpaces>4044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2022-06-24T02:22:00Z</dcterms:created>
  <dc:creator>王欢</dc:creator>
  <cp:lastModifiedBy>chen</cp:lastModifiedBy>
  <cp:lastPrinted>2025-05-21T00:55:00Z</cp:lastPrinted>
  <dcterms:modified xsi:type="dcterms:W3CDTF">2025-05-23T00:45:33Z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FE05FCA60F0C4ECCBE16F653ABEA9810_13</vt:lpwstr>
  </property>
  <property fmtid="{D5CDD505-2E9C-101B-9397-08002B2CF9AE}" pid="4" name="KSOTemplateDocerSaveRecord">
    <vt:lpwstr>eyJoZGlkIjoiMzE1ZjZmNzU5YmMyZWJkMGM3N2JhYzA4MDI4NDg3MDQiLCJ1c2VySWQiOiI4OTk4MDQ5OTUifQ==</vt:lpwstr>
  </property>
</Properties>
</file>